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2019年1-</w:t>
      </w:r>
      <w:r>
        <w:rPr>
          <w:rFonts w:hint="eastAsia"/>
          <w:sz w:val="36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36"/>
          <w:szCs w:val="44"/>
        </w:rPr>
        <w:t>月广西招商引资情况表</w:t>
      </w:r>
    </w:p>
    <w:p>
      <w:pPr>
        <w:jc w:val="center"/>
        <w:rPr>
          <w:rFonts w:hint="eastAsia"/>
          <w:sz w:val="36"/>
          <w:szCs w:val="44"/>
        </w:rPr>
      </w:pPr>
    </w:p>
    <w:tbl>
      <w:tblPr>
        <w:tblW w:w="954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1995"/>
        <w:gridCol w:w="1845"/>
        <w:gridCol w:w="1980"/>
        <w:gridCol w:w="23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384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1-3月份累计完成量</w:t>
            </w:r>
          </w:p>
        </w:tc>
        <w:tc>
          <w:tcPr>
            <w:tcW w:w="43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1-3月份累计完成全年目标进度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（亿元）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同比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增长%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目标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（亿元）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进度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（%）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合计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2,072.3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8.3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8210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25.2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13923"/>
    <w:rsid w:val="201D67EC"/>
    <w:rsid w:val="29D5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Mr.w</cp:lastModifiedBy>
  <dcterms:modified xsi:type="dcterms:W3CDTF">2019-12-27T03:28:24Z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